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评估费用标准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4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附表一：按建设项目投资额分档取费标准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outlineLvl w:val="4"/>
        <w:rPr>
          <w:rFonts w:eastAsia="楷体_GB2312"/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  <w:r>
        <w:rPr>
          <w:rFonts w:hint="eastAsia" w:ascii="Calibri" w:hAnsi="Calibri"/>
          <w:kern w:val="0"/>
          <w:sz w:val="24"/>
          <w:szCs w:val="24"/>
          <w:lang w:val="en-US" w:eastAsia="zh-CN"/>
        </w:rPr>
        <w:t xml:space="preserve">     </w:t>
      </w:r>
      <w:r>
        <w:rPr>
          <w:rFonts w:eastAsia="楷体_GB2312"/>
          <w:kern w:val="0"/>
          <w:sz w:val="24"/>
          <w:szCs w:val="24"/>
        </w:rPr>
        <w:t>单位：万元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2"/>
        <w:gridCol w:w="1588"/>
        <w:gridCol w:w="1588"/>
        <w:gridCol w:w="1538"/>
        <w:gridCol w:w="1171"/>
        <w:gridCol w:w="1271"/>
        <w:gridCol w:w="1239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9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107" w:rightChars="-51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eastAsia="楷体_GB2312"/>
                <w:kern w:val="0"/>
                <w:sz w:val="24"/>
                <w:szCs w:val="24"/>
              </w:rPr>
              <w:t>投资额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107" w:rightChars="-51"/>
              <w:jc w:val="both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咨询评估项目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80" w:rightChars="-38"/>
              <w:jc w:val="center"/>
              <w:outlineLvl w:val="4"/>
              <w:rPr>
                <w:rFonts w:hint="default" w:eastAsia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>1000万元以下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80" w:rightChars="-38"/>
              <w:jc w:val="center"/>
              <w:outlineLvl w:val="4"/>
              <w:rPr>
                <w:rFonts w:hint="default" w:eastAsia="楷体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>1000万元-3000万元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80" w:rightChars="-38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3000万元-</w:t>
            </w:r>
          </w:p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80" w:rightChars="-38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1亿元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80" w:rightChars="-38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1亿元－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67" w:rightChars="-32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5亿元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48" w:rightChars="-23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5亿元－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48" w:rightChars="-23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10亿元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48" w:rightChars="-23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10亿元－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48" w:rightChars="-23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50亿元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8" w:rightChars="-4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50亿元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8" w:rightChars="-4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54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174" w:rightChars="83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一、评估项目建议书（含调整）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80" w:rightChars="-38"/>
              <w:jc w:val="center"/>
              <w:outlineLvl w:val="4"/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80" w:rightChars="-38"/>
              <w:jc w:val="center"/>
              <w:outlineLvl w:val="4"/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80" w:rightChars="-38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4-8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67" w:rightChars="-32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8－12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48" w:rightChars="-23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12－15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29" w:rightChars="-14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15－17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8" w:rightChars="-4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17－20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54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174" w:rightChars="83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二、评估可行性研究报告、初步设计、项目申请报告、资金申请报告</w:t>
            </w: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、社会稳定风险分析报告</w:t>
            </w:r>
            <w:r>
              <w:rPr>
                <w:rFonts w:eastAsia="楷体_GB2312"/>
                <w:kern w:val="0"/>
                <w:sz w:val="24"/>
                <w:szCs w:val="24"/>
              </w:rPr>
              <w:t>（含调整）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80" w:rightChars="-38"/>
              <w:jc w:val="center"/>
              <w:outlineLvl w:val="4"/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80" w:rightChars="-38"/>
              <w:jc w:val="center"/>
              <w:outlineLvl w:val="4"/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>2-5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80" w:rightChars="-38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5-10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67" w:rightChars="-32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10－15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48" w:rightChars="-23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15－20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29" w:rightChars="-14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20－25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8" w:rightChars="-4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25－35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54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174" w:rightChars="83"/>
              <w:outlineLvl w:val="4"/>
              <w:rPr>
                <w:rFonts w:eastAsia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szCs w:val="24"/>
                <w:highlight w:val="none"/>
              </w:rPr>
              <w:t>三、概算核定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80" w:rightChars="-38"/>
              <w:jc w:val="center"/>
              <w:outlineLvl w:val="4"/>
              <w:rPr>
                <w:rFonts w:hint="eastAsia" w:eastAsia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80" w:rightChars="-38"/>
              <w:jc w:val="center"/>
              <w:outlineLvl w:val="4"/>
              <w:rPr>
                <w:rFonts w:hint="eastAsia" w:eastAsia="楷体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tabs>
                <w:tab w:val="left" w:pos="7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80" w:rightChars="-38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szCs w:val="24"/>
                <w:highlight w:val="none"/>
              </w:rPr>
              <w:t>3-5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67" w:rightChars="-32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szCs w:val="24"/>
                <w:highlight w:val="none"/>
              </w:rPr>
              <w:t>5-8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48" w:rightChars="-23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szCs w:val="24"/>
                <w:highlight w:val="none"/>
              </w:rPr>
              <w:t>8-10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29" w:rightChars="-14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szCs w:val="24"/>
                <w:highlight w:val="none"/>
              </w:rPr>
              <w:t>10-13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ind w:right="-8" w:rightChars="-4"/>
              <w:jc w:val="center"/>
              <w:outlineLvl w:val="4"/>
              <w:rPr>
                <w:rFonts w:eastAsia="楷体_GB2312"/>
                <w:kern w:val="0"/>
                <w:sz w:val="24"/>
                <w:szCs w:val="24"/>
                <w:highlight w:val="none"/>
              </w:rPr>
            </w:pPr>
            <w:r>
              <w:rPr>
                <w:rFonts w:eastAsia="楷体_GB2312"/>
                <w:kern w:val="0"/>
                <w:sz w:val="24"/>
                <w:szCs w:val="24"/>
                <w:highlight w:val="none"/>
              </w:rPr>
              <w:t>13-18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right="-50" w:rightChars="-24"/>
        <w:jc w:val="left"/>
        <w:outlineLvl w:val="4"/>
        <w:rPr>
          <w:rFonts w:hint="eastAsia" w:ascii="楷体_GB2312" w:hAnsi="楷体_GB2312" w:eastAsia="楷体_GB2312" w:cs="楷体_GB2312"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24"/>
        </w:rPr>
        <w:t>注：1．投资额为上报申请报告的投资额。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right="-50" w:rightChars="-24"/>
        <w:jc w:val="left"/>
        <w:outlineLvl w:val="4"/>
        <w:rPr>
          <w:rFonts w:hint="eastAsia" w:ascii="楷体_GB2312" w:hAnsi="楷体_GB2312" w:eastAsia="楷体_GB2312" w:cs="楷体_GB2312"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24"/>
        </w:rPr>
        <w:t xml:space="preserve">    2．建设项目的具体取费标准，根据估算投资额在相对应的区间内用插入法计算。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right="-50" w:rightChars="-24" w:firstLine="480"/>
        <w:jc w:val="left"/>
        <w:outlineLvl w:val="4"/>
        <w:rPr>
          <w:rFonts w:hint="eastAsia" w:ascii="楷体_GB2312" w:hAnsi="楷体_GB2312" w:eastAsia="楷体_GB2312" w:cs="楷体_GB2312"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24"/>
        </w:rPr>
        <w:t>3．根据行业特点和各行业内部不同类别工程的复杂程度，计算咨询费用时可分别乘以行业调整系数和工程复杂程度调整系数（见附表二）。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right="-50" w:rightChars="-24" w:firstLine="480"/>
        <w:jc w:val="left"/>
        <w:outlineLvl w:val="4"/>
        <w:rPr>
          <w:rFonts w:hint="eastAsia" w:ascii="楷体_GB2312" w:hAnsi="楷体_GB2312" w:eastAsia="楷体_GB2312" w:cs="楷体_GB2312"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24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kern w:val="0"/>
          <w:sz w:val="24"/>
          <w:szCs w:val="24"/>
        </w:rPr>
        <w:t>．</w:t>
      </w:r>
      <w:r>
        <w:rPr>
          <w:rFonts w:hint="eastAsia" w:ascii="楷体_GB2312" w:hAnsi="楷体_GB2312" w:eastAsia="楷体_GB2312" w:cs="楷体_GB2312"/>
          <w:kern w:val="0"/>
          <w:sz w:val="24"/>
          <w:szCs w:val="24"/>
          <w:lang w:val="en-US" w:eastAsia="zh-CN"/>
        </w:rPr>
        <w:t>企业投资项目申请报告、PPP实施方案参照可行性研究报告评估的类别计费。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outlineLvl w:val="4"/>
        <w:rPr>
          <w:rFonts w:eastAsia="华文中宋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4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附表二：按建设项目投资额分档取费的调整系数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outlineLvl w:val="4"/>
        <w:rPr>
          <w:rFonts w:eastAsia="黑体"/>
          <w:kern w:val="0"/>
          <w:szCs w:val="21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3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8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107" w:rightChars="-51"/>
              <w:jc w:val="center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行    业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8" w:rightChars="-4"/>
              <w:jc w:val="center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调整系数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8" w:rightChars="-4"/>
              <w:jc w:val="center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（以表一所列取费标准为1）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  <w:jc w:val="center"/>
        </w:trPr>
        <w:tc>
          <w:tcPr>
            <w:tcW w:w="5778" w:type="dxa"/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0" w:rightChars="-24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 xml:space="preserve">    一、行业调整系数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0" w:rightChars="-24" w:firstLine="480" w:firstLineChars="200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1. 石化、化工、钢铁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0" w:rightChars="-24" w:firstLine="480" w:firstLineChars="200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2. 石油、天然气、水利、水电、交通（水运）、化纤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0" w:rightChars="-24" w:firstLine="480" w:firstLineChars="200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3. 有色、黄金、纺织、轻工、邮电、广播电视、医药、煤炭、火电（含核电）、机械（含船舶、航空、航天、兵器）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0" w:rightChars="-24" w:firstLine="480" w:firstLineChars="200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4. 林业、商业、粮食、建筑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0" w:rightChars="-24" w:firstLine="480" w:firstLineChars="200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5. 建材、交通（公路）、铁道、市政公用工程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0" w:rightChars="-24" w:firstLine="480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二、工程复杂程度调整系数</w:t>
            </w:r>
          </w:p>
        </w:tc>
        <w:tc>
          <w:tcPr>
            <w:tcW w:w="2527" w:type="dxa"/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48" w:rightChars="-261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48" w:rightChars="-261" w:firstLine="720" w:firstLineChars="300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1.3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48" w:rightChars="-261" w:firstLine="720" w:firstLineChars="300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1.2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48" w:rightChars="-261" w:firstLine="720" w:firstLineChars="300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48" w:rightChars="-261" w:firstLine="720" w:firstLineChars="300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1.0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48" w:rightChars="-261" w:firstLine="720" w:firstLineChars="300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0.8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48" w:rightChars="-261" w:firstLine="720" w:firstLineChars="300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0.7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48" w:rightChars="-261" w:firstLine="720" w:firstLineChars="300"/>
              <w:jc w:val="left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0.8－1.2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right="-50" w:rightChars="-24"/>
        <w:jc w:val="left"/>
        <w:outlineLvl w:val="4"/>
        <w:rPr>
          <w:rFonts w:ascii="楷体_GB2312" w:hAnsi="楷体_GB2312" w:eastAsia="楷体_GB2312" w:cs="楷体_GB2312"/>
          <w:kern w:val="0"/>
          <w:sz w:val="24"/>
          <w:szCs w:val="24"/>
        </w:rPr>
      </w:pPr>
      <w:r>
        <w:rPr>
          <w:rFonts w:ascii="楷体_GB2312" w:hAnsi="楷体_GB2312" w:eastAsia="楷体_GB2312" w:cs="楷体_GB2312"/>
          <w:kern w:val="0"/>
          <w:sz w:val="24"/>
          <w:szCs w:val="24"/>
        </w:rPr>
        <w:t>注：工程复杂程度调整系数由市发展改革委根据工程实际情况确定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="-420" w:leftChars="-200" w:right="-50" w:rightChars="-24"/>
        <w:jc w:val="left"/>
        <w:outlineLvl w:val="4"/>
        <w:rPr>
          <w:rFonts w:eastAsia="楷体_GB2312"/>
          <w:kern w:val="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="-420" w:leftChars="-200" w:right="-50" w:rightChars="-24"/>
        <w:jc w:val="left"/>
        <w:outlineLvl w:val="4"/>
        <w:rPr>
          <w:rFonts w:eastAsia="楷体_GB2312"/>
          <w:kern w:val="0"/>
          <w:sz w:val="28"/>
          <w:szCs w:val="28"/>
        </w:rPr>
      </w:pPr>
    </w:p>
    <w:p>
      <w:pPr>
        <w:pStyle w:val="2"/>
        <w:rPr>
          <w:rFonts w:eastAsia="楷体_GB2312"/>
          <w:kern w:val="0"/>
          <w:sz w:val="28"/>
          <w:szCs w:val="28"/>
        </w:rPr>
      </w:pPr>
    </w:p>
    <w:p/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="-420" w:leftChars="-200" w:right="-50" w:rightChars="-24"/>
        <w:jc w:val="left"/>
        <w:outlineLvl w:val="4"/>
        <w:rPr>
          <w:rFonts w:eastAsia="楷体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4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附表三：中高级职称专业技术人员取费标准</w:t>
      </w:r>
    </w:p>
    <w:p>
      <w:pPr>
        <w:spacing w:line="400" w:lineRule="exac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6513"/>
        <w:gridCol w:w="3535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  <w:t>咨询人员职级</w:t>
            </w:r>
          </w:p>
        </w:tc>
        <w:tc>
          <w:tcPr>
            <w:tcW w:w="34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  <w:t>工日费用标准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  <w:t>人员费用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0" w:rightChars="-24"/>
              <w:jc w:val="center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  <w:t>正高级专业技术职称的咨询人员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0" w:rightChars="-24"/>
              <w:jc w:val="center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  <w:t>1500元/人/工日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  <w:t>按实际参加人数测算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0" w:rightChars="-24"/>
              <w:jc w:val="center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  <w:t>高级专业技术职称的咨询人员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0" w:rightChars="-24"/>
              <w:jc w:val="center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  <w:t>1000元/人/工日</w:t>
            </w: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0" w:rightChars="-24"/>
              <w:jc w:val="center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lang w:val="zh-CN"/>
              </w:rPr>
              <w:t>中级专业技术职称的咨询人员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6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right="-50" w:rightChars="-24"/>
              <w:jc w:val="center"/>
              <w:outlineLvl w:val="4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</w:rPr>
              <w:t>800元/人/工日</w:t>
            </w: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/>
              </w:rPr>
            </w:pPr>
          </w:p>
        </w:tc>
      </w:tr>
    </w:tbl>
    <w:p>
      <w:pPr>
        <w:wordWrap w:val="0"/>
        <w:spacing w:line="100" w:lineRule="exact"/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right="-50" w:rightChars="-24"/>
        <w:jc w:val="left"/>
        <w:outlineLvl w:val="4"/>
        <w:rPr>
          <w:rFonts w:hint="default" w:ascii="楷体_GB2312" w:hAnsi="楷体_GB2312" w:eastAsia="楷体_GB2312" w:cs="楷体_GB2312"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24"/>
          <w:lang w:val="en-US" w:eastAsia="zh-CN"/>
        </w:rPr>
        <w:t>注：评估费用标准随政府采购框架协议采购文件一并发出，咨询评估机构履行竞争程序后，即视为对费用标准的响应。</w:t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474" w:right="1814" w:bottom="1474" w:left="2041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00000000"/>
    <w:rsid w:val="02F44D24"/>
    <w:rsid w:val="1CFFDC6F"/>
    <w:rsid w:val="1EDF0A36"/>
    <w:rsid w:val="31BE0AF5"/>
    <w:rsid w:val="47B16CDB"/>
    <w:rsid w:val="4BC7068A"/>
    <w:rsid w:val="4F5E1B40"/>
    <w:rsid w:val="75FD10FD"/>
    <w:rsid w:val="7A044199"/>
    <w:rsid w:val="9CDF89D8"/>
    <w:rsid w:val="FDFF6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eastAsia="宋体" w:cs="Times New Roman"/>
      <w:szCs w:val="2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542</Words>
  <Characters>575</Characters>
  <Lines>0</Lines>
  <Paragraphs>0</Paragraphs>
  <TotalTime>1</TotalTime>
  <ScaleCrop>false</ScaleCrop>
  <LinksUpToDate>false</LinksUpToDate>
  <CharactersWithSpaces>591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2023-04-21T03:28:06Z</dcterms:created>
  <dc:creator>sugon</dc:creator>
  <cp:lastModifiedBy>WPS_1628732352</cp:lastModifiedBy>
  <dcterms:modified xsi:type="dcterms:W3CDTF">2023-05-16T08:46:49Z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65332426F08C4A708913D38F363CBF96_13</vt:lpwstr>
  </property>
</Properties>
</file>